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85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E476E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065"/>
            <wp:effectExtent l="0" t="0" r="0" b="31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6E800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0990EE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53BD83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ООО и СОО), локальными нормативными актами Школы. </w:t>
      </w:r>
    </w:p>
    <w:p w14:paraId="331D0243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Подробная оценка реализации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ООП НОО, ООО и СОО изложена в разделе отчета «</w:t>
      </w:r>
      <w:r>
        <w:rPr>
          <w:rFonts w:hAnsi="Times New Roman" w:cs="Times New Roman"/>
          <w:sz w:val="24"/>
          <w:szCs w:val="24"/>
        </w:rPr>
        <w:t>III</w:t>
      </w:r>
      <w:r>
        <w:rPr>
          <w:rFonts w:hAnsi="Times New Roman" w:cs="Times New Roman"/>
          <w:sz w:val="24"/>
          <w:szCs w:val="24"/>
          <w:lang w:val="ru-RU"/>
        </w:rPr>
        <w:t>. Оценка содержания и качества подготовки обучающихся».</w:t>
      </w:r>
    </w:p>
    <w:p w14:paraId="671B31E6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молодежи»,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помещениям, оборудованию Школы.</w:t>
      </w:r>
    </w:p>
    <w:p w14:paraId="032720F9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При организации оказании психолого-педагогической помощи учащимся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14:paraId="4DDC60B6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14:paraId="2E5094EC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 01.09.2022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ввели должность советника директора по воспитанию и взаимодействию с детскими общественными объединениями (далее – советник по воспитанию). Ее занял педагог, имеющий опыт работы с детскими объединениями и общий стаж педагогической работы 13 лет.</w:t>
      </w:r>
    </w:p>
    <w:p w14:paraId="5559B6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Советник по воспитанию:</w:t>
      </w:r>
    </w:p>
    <w:p w14:paraId="286F694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участвует в разработке и реализации рабочей программы и календарного плана воспитательной работы в школе;</w:t>
      </w:r>
    </w:p>
    <w:p w14:paraId="32B31BE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организует участие педагогов, обучающихся и их родителей (законных представителей) в проектировании рабочих программ воспитания;</w:t>
      </w:r>
    </w:p>
    <w:p w14:paraId="04186E71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обеспечивает вовлечение обучающихся в творческую деятельность по основным направлениям воспитания;</w:t>
      </w:r>
    </w:p>
    <w:p w14:paraId="74B82AE3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анализирует результаты реализации рабочих программ воспитания;</w:t>
      </w:r>
    </w:p>
    <w:p w14:paraId="6F349CAD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участвует в организации отдыха и занятости обучающихся в каникулярный период;</w:t>
      </w:r>
    </w:p>
    <w:p w14:paraId="57D36F0B">
      <w:pPr>
        <w:numPr>
          <w:ilvl w:val="0"/>
          <w:numId w:val="1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организует педагогическое стимулирование обучающихся к самореализации и социально-педагогической поддержке;</w:t>
      </w:r>
    </w:p>
    <w:p w14:paraId="3515218A">
      <w:pPr>
        <w:numPr>
          <w:ilvl w:val="0"/>
          <w:numId w:val="1"/>
        </w:numPr>
        <w:ind w:left="780" w:right="1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школы; координирует деятельность различных детских общественных объединений.</w:t>
      </w:r>
    </w:p>
    <w:p w14:paraId="6CE2AF3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      За 2025-2026 учебный год советником по воспитанию были проведены следующие мероприятия:</w:t>
      </w:r>
    </w:p>
    <w:p w14:paraId="67E4CDE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Акция «Самолетик Будущего»;</w:t>
      </w:r>
    </w:p>
    <w:p w14:paraId="6798D3F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солидарности в борьбе с терроризмом (активисты Движения Первых разработали и раздали обучающимся памятки о правилах террористической безопасности и формированию навыков безопасного поведения в различных ситуациях);</w:t>
      </w:r>
    </w:p>
    <w:p w14:paraId="599AEC4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-Мероприятия, посвященные Дню Победы над милитаристской Японией и окончания Второй мировой войны (лекция "А что после войны?", мероприятие "Подвиг народа");</w:t>
      </w:r>
    </w:p>
    <w:p w14:paraId="52F6218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-Акция, посвященная 15 - летнему юбилею Детского телефона доверия;</w:t>
      </w:r>
    </w:p>
    <w:p w14:paraId="2FFFB3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Муниципальный этап Чемпионата по оказанию первой помощи;</w:t>
      </w:r>
    </w:p>
    <w:p w14:paraId="42FA1FF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воссоединения ДНР, ЛНР, Запорожской и Херсонской областей с Российской Федерацией (лекция "Возвращение в состав России: сила единства", настольная игра "Возвращение истории");</w:t>
      </w:r>
    </w:p>
    <w:p w14:paraId="5094F23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учителя (видеоролик с поздравлением от обучающихся, оформление фотозоны);</w:t>
      </w:r>
    </w:p>
    <w:p w14:paraId="6FF5FD0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-Церемония посвящения учеников начальных классов в «Орлята России»;</w:t>
      </w:r>
    </w:p>
    <w:p w14:paraId="6517A462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-Мероприятия, посвященные Дню отца (творческая мастерская «Орден моему герою», акция «Вместе с папой», поздравительный видеоролик);</w:t>
      </w:r>
    </w:p>
    <w:p w14:paraId="5B18D42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-Международный день школьных библиотек (виртуальное путешествие по Российской государственной библиотеке имени Ленина, дебаты «Почему важно читать книги в эпоху цифровизации?»);</w:t>
      </w:r>
    </w:p>
    <w:p w14:paraId="288B682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народного единства (интерактивная викторина «Марафон культур»);</w:t>
      </w:r>
    </w:p>
    <w:p w14:paraId="5DCBADE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-Региональная акция «День без гаджетов»;</w:t>
      </w:r>
    </w:p>
    <w:p w14:paraId="38B7435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Акция «Дети солдатам»;</w:t>
      </w:r>
    </w:p>
    <w:p w14:paraId="6AFB805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Государственного герба Российской Федерации (интерактивное занятие «Мозаика»);</w:t>
      </w:r>
    </w:p>
    <w:p w14:paraId="33997BA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матери (оформление фотозоны, творческая мастерская «Незабудка», поздравительный видеоролик);</w:t>
      </w:r>
    </w:p>
    <w:p w14:paraId="1953E55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неизвестного солдата (урок мужества);</w:t>
      </w:r>
    </w:p>
    <w:p w14:paraId="0DC81D42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Районный конкурс «Волонтер года 2025»;</w:t>
      </w:r>
    </w:p>
    <w:p w14:paraId="47156052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-Мероприятия, посвященные Дню Конституции Российской Федерации (коллективно-творческое дело «Моя страна — Россия»;</w:t>
      </w:r>
    </w:p>
    <w:p w14:paraId="2BF48522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-Акция «Внуки по переписке»;</w:t>
      </w:r>
    </w:p>
    <w:p w14:paraId="7C497AD9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-Мероприятия. Посвященные годовщине Победы в Сталинградской битве (оформление фотозоны, торжественная линейка, кинолекторий «Битва за Россию.</w:t>
      </w:r>
    </w:p>
    <w:p w14:paraId="4100364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Сталинградская битва. Чуйков против Паулюса»);</w:t>
      </w:r>
    </w:p>
    <w:p w14:paraId="729BC67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международному дню книгодарения (настольная игра «Угадай героя»);</w:t>
      </w:r>
    </w:p>
    <w:p w14:paraId="0AAE5A5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-Акция «Письмо солдату»;</w:t>
      </w:r>
    </w:p>
    <w:p w14:paraId="47D1DD8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-Мероприятия, посвященные Дню защитника Отечества (интеллектуальная викторина «Битва эрудитов», настольная игра «Защитник», изготовление поздравительных открыток);</w:t>
      </w:r>
    </w:p>
    <w:p w14:paraId="71E665F1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День вожатого (игротека «Будущий вожатый»);</w:t>
      </w:r>
    </w:p>
    <w:p w14:paraId="4E3E825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Международному женскому дню (оформление фотозоны, акция «Вам, любимые», поздравительные открытки, поздравительный видеоролик);</w:t>
      </w:r>
    </w:p>
    <w:p w14:paraId="060DCC0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Мероприятия, посвященные Дню воссоединения Крыма с Россией (акция «Одна страна — одна история», онлайн — экскурсия «История одного полуострова», мастер-класс «Севастопольская роспись»);</w:t>
      </w:r>
    </w:p>
    <w:p w14:paraId="7CF4347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-Мероприятия, посвященные дню космонавтики (лекция «Космический путь России: исследуя бесконечность).</w:t>
      </w:r>
    </w:p>
    <w:p w14:paraId="5B5E223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Воспитательная работа</w:t>
      </w:r>
    </w:p>
    <w:p w14:paraId="1738C55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среднего общего образования.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рамках воспитательной работы Школа:</w:t>
      </w:r>
    </w:p>
    <w:p w14:paraId="1528270E">
      <w:pPr>
        <w:spacing w:beforeAutospacing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анализа воспитательных мероприятий;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жизни Школы;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3) вовлекает школьников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кружки, секции, клубы, студии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иные объединения, работающие по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школьным программам внеурочной деятельности, реализовывать их воспитательные возможности;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4) использует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уроках интерактивных форм занятий с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учащимися;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5) поддерживает ученическое самоуправление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— как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уровне Школы, так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уровне классных сообществ;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организаций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— например, школьного спортивного клуба;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реализует их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воспитательный потенциал;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8) организует профориентационную работу со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школьниками;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реализует ее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воспитательные возможности;</w:t>
      </w:r>
      <w:r>
        <w:rPr>
          <w:rFonts w:cstheme="minorHAnsi"/>
          <w:lang w:val="ru-RU"/>
        </w:rPr>
        <w:br w:type="textWrapping"/>
      </w:r>
      <w:r>
        <w:rPr>
          <w:rFonts w:cstheme="minorHAnsi"/>
          <w:sz w:val="24"/>
          <w:szCs w:val="24"/>
          <w:lang w:val="ru-RU"/>
        </w:rPr>
        <w:t>10) организует работу с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семьями школьников, их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совместное решение проблем личностного развития детей.</w:t>
      </w:r>
    </w:p>
    <w:p w14:paraId="05F77785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При реализации ООП школы, в том числе курсов внеурочной деятельности и рабочей программы воспитания, педагоги используют кинофильмы и мультфильмы из Перечня, направленного письмом Минпросвещения России от 20.03.2025 № АБ-957/06. Опрос учеников и родителей, проведенный в октябре 2025 года, показал, что они положительно оценивают введение и просмотр советских фильмов в образовательный и воспитательный процесс школы. </w:t>
      </w:r>
    </w:p>
    <w:p w14:paraId="7499E873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 1 сентября 2025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Минпросвещения России от 29.08.2025 № 06-1211).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мероприятия из каждого тематического блока, указанных в разделе «Дополнительные мероприятия».</w:t>
      </w:r>
    </w:p>
    <w:p w14:paraId="274A8CC8">
      <w:pPr>
        <w:ind w:firstLine="360" w:firstLineChars="15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За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время реализации программы воспитания родители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Школе, что отразилось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результатах анкетирования, проведенного 20.12.2025г. Вместе с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тем, родители высказали пожелания по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введению мероприятий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зимние спортивные мероприятия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рамках подготовки к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при наличии возможностей Школы включены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2026/27 учебный год.</w:t>
      </w:r>
    </w:p>
    <w:p w14:paraId="01DFE452">
      <w:pPr>
        <w:spacing w:before="0" w:beforeAutospacing="0" w:after="0" w:afterAutospacing="0" w:line="276" w:lineRule="auto"/>
        <w:ind w:firstLine="360" w:firstLineChars="150"/>
        <w:jc w:val="both"/>
        <w:rPr>
          <w:rFonts w:cstheme="minorHAnsi"/>
          <w:iCs/>
          <w:sz w:val="24"/>
          <w:szCs w:val="24"/>
          <w:lang w:val="ru-RU"/>
        </w:rPr>
      </w:pPr>
      <w:r>
        <w:rPr>
          <w:rFonts w:eastAsia="Calibri" w:cstheme="minorHAnsi"/>
          <w:sz w:val="24"/>
          <w:szCs w:val="28"/>
        </w:rPr>
        <w:t>O</w:t>
      </w:r>
      <w:r>
        <w:rPr>
          <w:rFonts w:eastAsia="Calibri" w:cstheme="minorHAnsi"/>
          <w:sz w:val="24"/>
          <w:szCs w:val="28"/>
          <w:lang w:val="ru-RU"/>
        </w:rPr>
        <w:t>сновной целью воспитательной работы в 2025 году явля</w:t>
      </w:r>
      <w:r>
        <w:rPr>
          <w:rFonts w:eastAsia="Calibri" w:cstheme="minorHAnsi"/>
          <w:sz w:val="24"/>
          <w:szCs w:val="24"/>
          <w:lang w:val="ru-RU"/>
        </w:rPr>
        <w:t>лось л</w:t>
      </w:r>
      <w:r>
        <w:rPr>
          <w:rFonts w:cstheme="minorHAnsi"/>
          <w:iCs/>
          <w:sz w:val="24"/>
          <w:szCs w:val="24"/>
          <w:lang w:val="ru-RU"/>
        </w:rPr>
        <w:t xml:space="preserve">ичностное развитие школьников, проявляющееся: </w:t>
      </w:r>
    </w:p>
    <w:p w14:paraId="334C3752">
      <w:pPr>
        <w:spacing w:before="0" w:beforeAutospacing="0" w:after="0" w:afterAutospacing="0" w:line="276" w:lineRule="auto"/>
        <w:jc w:val="both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1-4 классы -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3458EB7A">
      <w:pPr>
        <w:spacing w:before="0" w:beforeAutospacing="0" w:after="0" w:afterAutospacing="0" w:line="276" w:lineRule="auto"/>
        <w:jc w:val="both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 xml:space="preserve">5-9 классы - в развитии их позитивных отношений к этим общественным ценностям (то есть в развитии их социально значимых отношений); </w:t>
      </w:r>
    </w:p>
    <w:p w14:paraId="265BEB1C">
      <w:pPr>
        <w:spacing w:before="0" w:beforeAutospacing="0" w:after="0" w:afterAutospacing="0" w:line="276" w:lineRule="auto"/>
        <w:jc w:val="both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10-11 классы –в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5F532DE8">
      <w:pPr>
        <w:spacing w:before="0" w:beforeAutospacing="0" w:after="0" w:afterAutospacing="0" w:line="276" w:lineRule="auto"/>
        <w:jc w:val="both"/>
        <w:rPr>
          <w:rFonts w:cstheme="minorHAnsi"/>
          <w:iCs/>
          <w:sz w:val="24"/>
          <w:szCs w:val="24"/>
          <w:lang w:val="ru-RU"/>
        </w:rPr>
      </w:pPr>
    </w:p>
    <w:p w14:paraId="3FE238AC">
      <w:pPr>
        <w:spacing w:before="0" w:beforeAutospacing="0" w:after="0" w:afterAutospacing="0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Задачи воспитательной работы школы отражали общие подходы и были направлены на:</w:t>
      </w:r>
    </w:p>
    <w:p w14:paraId="232E2179">
      <w:pPr>
        <w:autoSpaceDE w:val="0"/>
        <w:autoSpaceDN w:val="0"/>
        <w:adjustRightInd w:val="0"/>
        <w:spacing w:beforeAutospacing="0" w:after="0" w:afterAutospacing="0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реализацию воспитательных возможностей, посредством организации общешкольных ключевых дел, поддержку традиции их коллективного планирования, организации, проведения и анализа в школьном сообществе;</w:t>
      </w:r>
    </w:p>
    <w:p w14:paraId="3DC62B7E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реализацию потенциала классного руководства в воспитании школьников, при активном участие классных сообществ в жизни школы;</w:t>
      </w:r>
    </w:p>
    <w:p w14:paraId="2C43F861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вовлечение школьников в кружки, секции, клубы и иные объединения, работающие по школьным программам внеурочной деятельности, реализовывая их воспитательные возможности;</w:t>
      </w:r>
    </w:p>
    <w:p w14:paraId="123E5D43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 xml:space="preserve">использование в воспитании детей возможности школьного урока, используя на уроках интерактивные формы занятий с учащимися; </w:t>
      </w:r>
    </w:p>
    <w:p w14:paraId="4581240D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 xml:space="preserve">развитие ученического самоуправления – как на уровне школы, так и на уровне классных сообществ; </w:t>
      </w:r>
    </w:p>
    <w:p w14:paraId="2C5D6BBB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поддержку деятельности функционирующих на базе школы детских общественных объединений и организаций;</w:t>
      </w:r>
    </w:p>
    <w:p w14:paraId="72B105EB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организацию работы для изучения истории родного края, по сбору и обработке материалов о жизни и деятельности земляков;</w:t>
      </w:r>
    </w:p>
    <w:p w14:paraId="38EA374A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организацию профориентационной работы со школьниками;</w:t>
      </w:r>
    </w:p>
    <w:p w14:paraId="78711692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 xml:space="preserve">организацию работы школьных медиа, реализовывая их воспитательный потенциал; </w:t>
      </w:r>
    </w:p>
    <w:p w14:paraId="59954307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>–</w:t>
      </w:r>
      <w:r>
        <w:rPr>
          <w:rFonts w:cstheme="minorHAnsi"/>
          <w:iCs/>
          <w:sz w:val="24"/>
          <w:szCs w:val="24"/>
          <w:lang w:val="ru-RU"/>
        </w:rPr>
        <w:tab/>
      </w:r>
      <w:r>
        <w:rPr>
          <w:rFonts w:cstheme="minorHAnsi"/>
          <w:iCs/>
          <w:sz w:val="24"/>
          <w:szCs w:val="24"/>
          <w:lang w:val="ru-RU"/>
        </w:rPr>
        <w:t>развитие предметно - эстетической среды школы и реализовывая ее воспитательные возможности;</w:t>
      </w:r>
    </w:p>
    <w:p w14:paraId="1915BDBC">
      <w:pPr>
        <w:spacing w:before="0" w:beforeAutospacing="0" w:after="0" w:afterAutospacing="0"/>
        <w:rPr>
          <w:rFonts w:cstheme="minorHAnsi"/>
          <w:iCs/>
          <w:sz w:val="24"/>
          <w:szCs w:val="24"/>
          <w:lang w:val="ru-RU"/>
        </w:rPr>
      </w:pPr>
      <w:r>
        <w:rPr>
          <w:rFonts w:cstheme="minorHAnsi"/>
          <w:iCs/>
          <w:sz w:val="24"/>
          <w:szCs w:val="24"/>
          <w:lang w:val="ru-RU"/>
        </w:rPr>
        <w:t xml:space="preserve"> –  организация работы с семьями школьников, их родителями или законными   представителями, направленную на совместное решение проблем личностного  развития детей.</w:t>
      </w:r>
    </w:p>
    <w:p w14:paraId="67939D42">
      <w:pPr>
        <w:spacing w:before="0" w:beforeAutospacing="0" w:after="0" w:afterAutospacing="0" w:line="276" w:lineRule="auto"/>
        <w:ind w:left="-567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      </w:t>
      </w:r>
    </w:p>
    <w:p w14:paraId="478D1F1B">
      <w:pPr>
        <w:spacing w:before="0" w:beforeAutospacing="0" w:after="0" w:afterAutospacing="0" w:line="276" w:lineRule="auto"/>
        <w:ind w:firstLine="360" w:firstLineChars="150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Работа классных руководителей сориентирована по следующим направлениям: </w:t>
      </w:r>
    </w:p>
    <w:p w14:paraId="79D1F851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- духовно – нравственное воспитание;</w:t>
      </w:r>
    </w:p>
    <w:p w14:paraId="600F9310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- спортивно – оздоровительное воспитание;</w:t>
      </w:r>
    </w:p>
    <w:p w14:paraId="6179839A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- профилактика правонарушений и безопасности жизнедеятельности;</w:t>
      </w:r>
    </w:p>
    <w:p w14:paraId="1526E51B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- методическая работа с  классными руководителями;</w:t>
      </w:r>
    </w:p>
    <w:p w14:paraId="07143667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 - работа с родителями.  </w:t>
      </w:r>
    </w:p>
    <w:p w14:paraId="59BCF688">
      <w:pPr>
        <w:spacing w:before="0" w:beforeAutospacing="0" w:after="0" w:afterAutospacing="0" w:line="276" w:lineRule="auto"/>
        <w:ind w:firstLine="360" w:firstLineChars="150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>Все направления воспитательной работы позволяют осуществлять личностно- ориентированный подход в воспитании, стимулировать творческие способности обучающихся, способствуют всестороннему развитию личности каждого ребенка.</w:t>
      </w:r>
    </w:p>
    <w:p w14:paraId="1725BB58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 План воспитательной работы в 2025 году был  составлен  с учётом возрастных, физических, интеллектуальных возможностей  и интересов учащихся, важной составляющей которого являлось формирование и укрепление школьных традиций, сохраняющихся из года в год посредством участия в проведении таких мероприятий как: торжественная линейка «Первого звонка», «День Учителя», «Новый год», Праздничные мероприятия к 23 февраля и 8 марта, «День Победы», торжественной линейки «Последнего звонка», торжественного вручения документов об образовании.</w:t>
      </w:r>
    </w:p>
    <w:p w14:paraId="6CAB5D5C">
      <w:pPr>
        <w:spacing w:before="0" w:beforeAutospacing="0" w:after="0" w:afterAutospacing="0" w:line="276" w:lineRule="auto"/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В течение года проводились занятия курса «Разговор о важном», направленные на формирование устойчивой нравственной позиции обучающихся, «Россия мои горизонты»-формирующие профориентационные навыки школьников, мероприятия патриотической и нравственной направленности: Уроки Мужества, День гражданской обороны,  День неизвестного солдата,  День героев Отечества; День памяти жертв фашизма; День памяти жертв Холокоста, День полного освобождения Ленинграда от фашистской блокады, торжественная линейка, посвящённые 82-й годовщине Сталинградской битвы, мероприятия, посвящённые воссоединению Крыма с Россией.</w:t>
      </w:r>
    </w:p>
    <w:p w14:paraId="722A542A">
      <w:pPr>
        <w:jc w:val="both"/>
        <w:rPr>
          <w:rFonts w:eastAsia="Calibri" w:cstheme="minorHAnsi"/>
          <w:sz w:val="24"/>
          <w:szCs w:val="28"/>
          <w:lang w:val="ru-RU"/>
        </w:rPr>
      </w:pPr>
      <w:r>
        <w:rPr>
          <w:rFonts w:eastAsia="Calibri" w:cstheme="minorHAnsi"/>
          <w:sz w:val="24"/>
          <w:szCs w:val="28"/>
          <w:lang w:val="ru-RU"/>
        </w:rPr>
        <w:t xml:space="preserve">     С целью развития  творческого потенциала учащиеся МКОУ «Кисловская СШ» принимали активное участие в акциях, конкурсах, фестивалях: Всероссийская  онлайн - олимпиада «Безопасные дороги», межмуниципальный фестиваль- конкурс для детей с ограниченными возможностями здоровья «Алло, мы ищем таланты!»,  муниципальный конкурс «Коррупция глазами детей!», Муниципальный конкурс «Под Рождественской звездой», народная акция  «Рисуем Победу - 2025», муниципальный конкурс детско - юношеского и взрослого творчества «Под Рождественской звездой»,  региональном этапе ежегодного Всероссийского (международного) фестиваля "Праздник эколят – молодых защитников природы", фестиваль «Безопасный новый год», фестиваль «Марафон ЮИД» в номинации рисунок «ЮИД. Территория творчества», муниципальный этап конкурса - фестиваля декоративно - прикладного творчества «Пасхальное яйцо-2025», муниципальный конкурс «Рисуем Победу», Всероссийском конкурсе по праздничному оформлению витрин и входных групп, приуроченного к 80-летней годовщины Победы в Великой Отечественной войне 1941-1945 годов, конкурс «Красота Божьего мира».</w:t>
      </w:r>
    </w:p>
    <w:p w14:paraId="631FFD5F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Дополнительное образование</w:t>
      </w:r>
    </w:p>
    <w:p w14:paraId="2522D95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Школа реализует программы дополнительного образования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соответствии с Порядком организации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27.07.2022 №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629.</w:t>
      </w:r>
    </w:p>
    <w:p w14:paraId="422A7914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школе разработаны и утверждены программа дополнительного образования:</w:t>
      </w:r>
    </w:p>
    <w:p w14:paraId="6DC40E20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«Русское правописание» -дополнительная общеразвивающая программа естественнонаучной направленности;</w:t>
      </w:r>
    </w:p>
    <w:p w14:paraId="322CEB77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Театральная студия «Созвездие»-дополнительная общеразвивающая программа художественной направленности;</w:t>
      </w:r>
    </w:p>
    <w:p w14:paraId="58C23411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«Акварелька»-дополнительная общеразвивающая программа художественной направленности;</w:t>
      </w:r>
    </w:p>
    <w:p w14:paraId="303E2076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«Тестопластика»-дополнительная общеразвивающая программа художественной направленности;</w:t>
      </w:r>
    </w:p>
    <w:p w14:paraId="21F2059E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«Золотая бутса» -дополнительная общеразвивающая программа физкультурно-спортивной направленности;</w:t>
      </w:r>
    </w:p>
    <w:p w14:paraId="7A2B5919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«Спортивная секция» -дополнительная общеразвивающая программа физкультурно-спортивной направленности.</w:t>
      </w:r>
    </w:p>
    <w:p w14:paraId="7B10C3F0">
      <w:pPr>
        <w:tabs>
          <w:tab w:val="left" w:pos="720"/>
        </w:tabs>
        <w:ind w:left="780" w:right="180"/>
        <w:contextualSpacing/>
        <w:rPr>
          <w:rFonts w:cstheme="minorHAnsi"/>
          <w:sz w:val="24"/>
          <w:szCs w:val="24"/>
          <w:lang w:val="ru-RU"/>
        </w:rPr>
      </w:pPr>
    </w:p>
    <w:p w14:paraId="2775301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Выбор направлений осуществлялся на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основании опроса обучающихся и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родителей, который провели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сентябре 2025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года. По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итогам опроса естественно-научное направление выбрало  14 обучающихся, художественное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— 119 обучающихся, физкультурно-спортивное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— 70 обучающийся.</w:t>
      </w:r>
    </w:p>
    <w:p w14:paraId="3C7E177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Важное место в организации внеурочной деятельности школьников отводится открывшемуся в 2019 году Центру образования цифрового и гуманитарного профилей «Точка роста». Результатом работы Центра является участие в различного рода конкурсах. Так в 2025 учебном году обучающиеся приняли участие в школьном этапе олимпиады школьников по физике, астрономии, географии, биологии, математике (Сириус). </w:t>
      </w:r>
    </w:p>
    <w:p w14:paraId="650B24E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Опрос родителей (законных представителей) обучающихся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сентябре 2025 года показал, что большая часть опрошенных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целом удовлетворены качеством дополнительного образования в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ru-RU"/>
        </w:rPr>
        <w:t>Школе.</w:t>
      </w:r>
    </w:p>
    <w:p w14:paraId="4D2E9C64">
      <w:pPr>
        <w:rPr>
          <w:rFonts w:cstheme="minorHAnsi"/>
          <w:sz w:val="24"/>
          <w:szCs w:val="24"/>
          <w:lang w:val="ru-RU"/>
          <w14:textOutline w14:w="2857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cstheme="minorHAnsi"/>
          <w:sz w:val="24"/>
          <w:szCs w:val="24"/>
          <w:lang w:val="ru-RU" w:eastAsia="ru-RU"/>
        </w:rPr>
        <w:drawing>
          <wp:inline distT="0" distB="0" distL="114300" distR="114300">
            <wp:extent cx="4658995" cy="2062480"/>
            <wp:effectExtent l="0" t="0" r="8255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82E6B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Пришкольный лагерь</w:t>
      </w:r>
    </w:p>
    <w:p w14:paraId="4F4230CB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 23 июня по 31 июля 2025 года организовали и провели две смены пришкольного лагеря, посвященных Году детского отдыха в системе образования по распоряжению Минпросвещения России от 29.08.2024 № Р-160.</w:t>
      </w:r>
    </w:p>
    <w:p w14:paraId="57CE863A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Минпросвещения России от 17.03.2025 № 209.</w:t>
      </w:r>
    </w:p>
    <w:p w14:paraId="0AC0647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Оформили специальный раздел «Сведения об организации отдыха детей и их оздоровлении» на официальном сайте Школы в соответствии с приказом Минпросвещения России от 14.03.2025 № 201.</w:t>
      </w:r>
    </w:p>
    <w:p w14:paraId="4CC3649A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результатам самоанализа, проведенного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 окончании летней оздоровительной кампании, Школа пришла к следующим выводам:</w:t>
      </w:r>
    </w:p>
    <w:p w14:paraId="225511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программа воспитательной работы в лагере в целом реализована полностью и успешно;</w:t>
      </w:r>
    </w:p>
    <w:p w14:paraId="099138F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работа структурных звеньев – отрядов, органов самоуправления, кружков и секций –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соответствовала поставленным задачам;</w:t>
      </w:r>
    </w:p>
    <w:p w14:paraId="080BA6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14:paraId="4A0837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работа с родителями проведена по плану;</w:t>
      </w:r>
    </w:p>
    <w:p w14:paraId="0E659DA6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работа с партнерами требует доработки.</w:t>
      </w:r>
    </w:p>
    <w:p w14:paraId="40DEE354">
      <w:pPr>
        <w:jc w:val="center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</w:rPr>
        <w:t>II</w:t>
      </w:r>
      <w:r>
        <w:rPr>
          <w:rFonts w:cstheme="minorHAnsi"/>
          <w:b/>
          <w:bCs/>
          <w:sz w:val="24"/>
          <w:szCs w:val="24"/>
          <w:lang w:val="ru-RU"/>
        </w:rPr>
        <w:t>. Оценка системы управления организацией</w:t>
      </w:r>
    </w:p>
    <w:p w14:paraId="147546F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14:paraId="7AE1A7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управления, действующие в Школе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6"/>
        <w:gridCol w:w="7431"/>
      </w:tblGrid>
      <w:tr w14:paraId="3BC62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17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3F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14:paraId="748F9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398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949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14:paraId="572AA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DF203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6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31E48D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1F2C3C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7FAE5FE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14:paraId="08F6D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46A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FF0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14:paraId="2493D7E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4CCBD8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5088AF4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12ED80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14:paraId="594F04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46F2B18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787FB1B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14:paraId="16B28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33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92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43E6519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051A2EB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5F33A5D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62789CF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23F82D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14:paraId="29785BA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14:paraId="6A68D7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деятельности управляющего совета:</w:t>
      </w:r>
    </w:p>
    <w:p w14:paraId="7548ADD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14:paraId="5020BAE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14:paraId="1F0587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14:paraId="2755BD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совета осуществляют свою работу на общественных началах;</w:t>
      </w:r>
    </w:p>
    <w:p w14:paraId="00DE52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14:paraId="745B52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созданы и работают  три предметных методических объединения:</w:t>
      </w:r>
    </w:p>
    <w:p w14:paraId="0E8A00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учителей начальных классов;</w:t>
      </w:r>
    </w:p>
    <w:p w14:paraId="1FAD802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14:paraId="6C7465D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русского языка, литературы, истории, обществознания, иностранного (английского) языка;</w:t>
      </w:r>
    </w:p>
    <w:p w14:paraId="401882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культуры, ОБЗР, труда (технологии).</w:t>
      </w:r>
    </w:p>
    <w:p w14:paraId="1BD1D07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402E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 родителей.</w:t>
      </w:r>
    </w:p>
    <w:p w14:paraId="24D261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2C7147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 показателей за 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–2025 годы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544"/>
        <w:gridCol w:w="1558"/>
        <w:gridCol w:w="1419"/>
        <w:gridCol w:w="1558"/>
        <w:gridCol w:w="1590"/>
      </w:tblGrid>
      <w:tr w14:paraId="1549D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CAF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CC91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6171FE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7753A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81839">
            <w:pPr>
              <w:rPr>
                <w:lang w:val="ru-RU"/>
              </w:rPr>
            </w:pPr>
            <w:r>
              <w:rPr>
                <w:lang w:val="ru-RU"/>
              </w:rPr>
              <w:t>2024-2025 учебный год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63A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14:paraId="64562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217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A55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0DC8D63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2878442">
            <w:pPr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986A9">
            <w:pPr>
              <w:rPr>
                <w:lang w:val="ru-RU"/>
              </w:rPr>
            </w:pPr>
            <w:r>
              <w:rPr>
                <w:lang w:val="ru-RU"/>
              </w:rPr>
              <w:t>181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653B2">
            <w:pPr>
              <w:rPr>
                <w:lang w:val="ru-RU"/>
              </w:rPr>
            </w:pPr>
            <w:r>
              <w:rPr>
                <w:lang w:val="ru-RU"/>
              </w:rPr>
              <w:t>175</w:t>
            </w:r>
          </w:p>
        </w:tc>
      </w:tr>
      <w:tr w14:paraId="48343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A07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7045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84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58A147">
            <w:r>
              <w:t>89</w:t>
            </w:r>
          </w:p>
        </w:tc>
        <w:tc>
          <w:tcPr>
            <w:tcW w:w="77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853EA">
            <w:r>
              <w:t>76</w:t>
            </w:r>
          </w:p>
        </w:tc>
        <w:tc>
          <w:tcPr>
            <w:tcW w:w="84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15FC0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8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52708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14:paraId="58E57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906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3F45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F68B1">
            <w:r>
              <w:t>99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7D140">
            <w:r>
              <w:t>95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3C1AF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2F225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14:paraId="5E395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7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46C0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3EEDAA">
            <w:r>
              <w:t>10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06081C">
            <w:r>
              <w:t>24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BB1E2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684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14:paraId="22E72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013C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5CC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80AA6D7">
            <w:r>
              <w:t>-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CF92DCC">
            <w:r>
              <w:t>-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EB7C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EE7D0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19F80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F0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C44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84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D1448A">
            <w:r>
              <w:t>-</w:t>
            </w:r>
          </w:p>
        </w:tc>
        <w:tc>
          <w:tcPr>
            <w:tcW w:w="77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0D66CF">
            <w:r>
              <w:t>-</w:t>
            </w:r>
          </w:p>
        </w:tc>
        <w:tc>
          <w:tcPr>
            <w:tcW w:w="84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D3426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A24E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14:paraId="794AA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C50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087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16A9D">
            <w:r>
              <w:t>-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C81B9">
            <w:r>
              <w:t>1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C2D3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92EB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3B821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A2A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C608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A49F2">
            <w:r>
              <w:t>-</w:t>
            </w:r>
          </w:p>
        </w:tc>
        <w:tc>
          <w:tcPr>
            <w:tcW w:w="7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17AE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49BE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AEBE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7233C6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37E9F43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 знаний.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1569"/>
        <w:gridCol w:w="1091"/>
        <w:gridCol w:w="677"/>
        <w:gridCol w:w="1091"/>
        <w:gridCol w:w="665"/>
        <w:gridCol w:w="1684"/>
        <w:gridCol w:w="1414"/>
      </w:tblGrid>
      <w:tr w14:paraId="6C005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74E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E8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CEFA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2044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F45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14:paraId="1A58E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05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BAD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DA76E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44E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4A061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55C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4CF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448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36631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E7A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2B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8A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DFC9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BE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E51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EC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91E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0F44B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057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38A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574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AB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7A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52D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DD4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EA3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10ADB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C64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36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8C8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36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4B885">
            <w:pPr>
              <w:jc w:val="center"/>
            </w:pPr>
            <w: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6D93A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CA0AA">
            <w:pPr>
              <w:jc w:val="center"/>
            </w:pPr>
            <w:r>
              <w:t>0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27145">
            <w:pPr>
              <w:jc w:val="center"/>
            </w:pPr>
            <w:r>
              <w:t>0</w:t>
            </w:r>
          </w:p>
        </w:tc>
      </w:tr>
      <w:tr w14:paraId="3B301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5B9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9DB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645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873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64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FCC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455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FCD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22B442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E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%.</w:t>
      </w:r>
    </w:p>
    <w:p w14:paraId="234F39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4"/>
        <w:gridCol w:w="1569"/>
        <w:gridCol w:w="1090"/>
        <w:gridCol w:w="686"/>
        <w:gridCol w:w="1090"/>
        <w:gridCol w:w="664"/>
        <w:gridCol w:w="1682"/>
        <w:gridCol w:w="1412"/>
      </w:tblGrid>
      <w:tr w14:paraId="2C122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95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8407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4A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603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412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14:paraId="540F1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8B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B3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415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ECC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BB28C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88D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0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1B694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74CE8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9A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D5BDF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A0FF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7B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B5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54B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F01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72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1C5CF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D5E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D921B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A38A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575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7FE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2AF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F51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45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A6AD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190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20E8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8A81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8AD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95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A2B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89C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2D8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135D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04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4C571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DE70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D0F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FB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32F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00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514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56B8E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3AA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11850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2CDD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58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AA4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BD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D7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850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65A93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78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4B0AF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8B70D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C5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960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40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B14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6C6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6D8BCE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«5», повысился 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14:paraId="5E562D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10-х, 11-х 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«успеваемость» в 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569"/>
        <w:gridCol w:w="915"/>
        <w:gridCol w:w="933"/>
        <w:gridCol w:w="979"/>
        <w:gridCol w:w="880"/>
        <w:gridCol w:w="1475"/>
        <w:gridCol w:w="1393"/>
      </w:tblGrid>
      <w:tr w14:paraId="2232F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B9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46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5B55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52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2B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14:paraId="1B96D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7A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85B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3E6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8563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2E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F15F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01E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EDDE6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14:paraId="7BCB0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59A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50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84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98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0CD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A4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D77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622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CDFF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7C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39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2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E79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57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AA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013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130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28D6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0EE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B2C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41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42,5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845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A47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8C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F20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00620E5C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2025 учебном году снизился на 4 процента.</w:t>
      </w:r>
    </w:p>
    <w:p w14:paraId="71CF2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6"/>
        <w:gridCol w:w="1836"/>
        <w:gridCol w:w="1835"/>
        <w:gridCol w:w="1835"/>
        <w:gridCol w:w="1835"/>
      </w:tblGrid>
      <w:tr w14:paraId="08E80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CEA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AEE5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29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100 баллов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7D4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AD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14:paraId="5009C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2811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8A34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3C65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114E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1DACC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  <w:tr w14:paraId="1DC4E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438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(базовый уровень)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4F43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A057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E80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D225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14:paraId="5C200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AD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(профильный уровень)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AAA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4821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92CA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8BE1D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14:paraId="39680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0431A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A2E2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1B1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C1C6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43AC7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14:paraId="603F9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E94D0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EB7E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981C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7172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ED7CD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14:paraId="5CC86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E245B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D4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7D39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2B1B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E611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</w:tbl>
    <w:p w14:paraId="282957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Показатели динамики выдачи аттестатов о среднем общем образовании с отличием с 2022 по 2025 год.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2294"/>
        <w:gridCol w:w="2294"/>
        <w:gridCol w:w="2294"/>
      </w:tblGrid>
      <w:tr w14:paraId="13F5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F67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выдачи аттестата с отличием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99E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отличием красного цвета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5B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отличием сине-голубого цвета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92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14:paraId="7D318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257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CDA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A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A7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7EEE7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73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B16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15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DF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DD3C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54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81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98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9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0EF0F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9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BC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E46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65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48A4E6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14:paraId="196E4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14:paraId="6A3860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1-11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одну смену.</w:t>
      </w:r>
    </w:p>
    <w:p w14:paraId="5340E8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– октябре (письмо Минпросвещения России от 01.07.2025 № 03-1326).</w:t>
      </w:r>
    </w:p>
    <w:p w14:paraId="14FFD8B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 школьного дня для первоклассников в сентябре-октябре строится по следующим правилам:</w:t>
      </w:r>
    </w:p>
    <w:p w14:paraId="4B965A7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ступенчатый режим обучения. Снижение учебной нагрузки в сентябре-октябре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урока в день, в ноябре-декабре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4 урока в день, по 35 минут каждый;</w:t>
      </w:r>
    </w:p>
    <w:p w14:paraId="70F5C5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минут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возможности проводится на улице с играми средней подвижности.</w:t>
      </w:r>
    </w:p>
    <w:p w14:paraId="7C0642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особенности контрольно-оценочной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 балльной оценки. Результаты работы первоклассников оцениваются только словесно, не задаются домашние задания.</w:t>
      </w:r>
    </w:p>
    <w:p w14:paraId="6B651B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6D3AE40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14:paraId="037BD9A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645963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14:paraId="3C7B8E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2BB69BD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7AE28A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 использования контента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сервисов ФГИС «Моя школа» успеваемость учеников 10-11-х классов выросла на 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6—9-х классов — на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остальных классах средний уровень успеваемости остался прежним.</w:t>
      </w:r>
    </w:p>
    <w:p w14:paraId="7927A6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Школа продолжала оказывать психолого-педагогическую помощь обучающимся из числа семей ветеранов (участников) специальной военной операции (СВО). </w:t>
      </w:r>
      <w:r>
        <w:rPr>
          <w:rFonts w:hAnsi="Times New Roman" w:cs="Times New Roman"/>
          <w:color w:val="000000"/>
          <w:sz w:val="24"/>
          <w:szCs w:val="24"/>
        </w:rPr>
        <w:t>Мероприятия носили комплексный характер, для их реализации привлекали:</w:t>
      </w:r>
    </w:p>
    <w:p w14:paraId="52406EC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 начальных классов;</w:t>
      </w:r>
    </w:p>
    <w:p w14:paraId="4901515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учителей-предметников;</w:t>
      </w:r>
    </w:p>
    <w:p w14:paraId="1118399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 педагога;</w:t>
      </w:r>
    </w:p>
    <w:p w14:paraId="676D9F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 w14:paraId="2E55FB4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14:paraId="1085E1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14:paraId="2101F0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14:paraId="2EEF7A8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Оценка востребованности выпускников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580"/>
        <w:gridCol w:w="703"/>
        <w:gridCol w:w="554"/>
        <w:gridCol w:w="1592"/>
        <w:gridCol w:w="580"/>
        <w:gridCol w:w="971"/>
        <w:gridCol w:w="1592"/>
        <w:gridCol w:w="1033"/>
        <w:gridCol w:w="802"/>
      </w:tblGrid>
      <w:tr w14:paraId="1E003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8146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41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142C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14:paraId="254C9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BD1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CDAC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1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D52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434C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4B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A528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6E3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392C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51B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14:paraId="6880F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2C8BE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AD40">
            <w:r>
              <w:t>18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63769">
            <w: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19EAF">
            <w: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11468">
            <w: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809E">
            <w: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B46B4"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B5A3E"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F017A">
            <w: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2161D">
            <w:r>
              <w:t>0</w:t>
            </w:r>
          </w:p>
        </w:tc>
      </w:tr>
      <w:tr w14:paraId="026A6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E8F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BA19C">
            <w:r>
              <w:t>18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C2D9">
            <w: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55718">
            <w: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F6ABB">
            <w: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2DC0">
            <w: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6DBB6"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38B0"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9B95F">
            <w: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20D00">
            <w:r>
              <w:t>0</w:t>
            </w:r>
          </w:p>
        </w:tc>
      </w:tr>
      <w:tr w14:paraId="34013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DA7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80514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B9B8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FE2A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5C36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3BD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241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6044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AA48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EF63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4BBC0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68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3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2781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E6E3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D126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E435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81A8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DD26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EFB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D4C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110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5C4B0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14:paraId="77BE1E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работает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педагог.</w:t>
      </w:r>
    </w:p>
    <w:p w14:paraId="3FEDF1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14:paraId="63FA5D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14:paraId="4B228E2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14:paraId="77D918F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14:paraId="6BF9D9C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персонала.</w:t>
      </w:r>
    </w:p>
    <w:p w14:paraId="1453A56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14:paraId="6B659B9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14:paraId="14D59DA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14:paraId="62188A5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  Оценка качества учебно-методического и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14:paraId="55266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14:paraId="59E6EAB8">
      <w:pPr>
        <w:numPr>
          <w:ilvl w:val="0"/>
          <w:numId w:val="12"/>
        </w:numPr>
        <w:suppressAutoHyphens/>
        <w:spacing w:before="280" w:beforeAutospacing="0" w:after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библиотечного фонда — 6114 единица;</w:t>
      </w:r>
    </w:p>
    <w:p w14:paraId="21FCB59F">
      <w:pPr>
        <w:numPr>
          <w:ilvl w:val="0"/>
          <w:numId w:val="12"/>
        </w:numPr>
        <w:suppressAutoHyphens/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книгообеспеченность — 100 процентов;</w:t>
      </w:r>
    </w:p>
    <w:p w14:paraId="0ED6EAAE">
      <w:pPr>
        <w:numPr>
          <w:ilvl w:val="0"/>
          <w:numId w:val="12"/>
        </w:numPr>
        <w:suppressAutoHyphens/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обращаемость — 745 единиц в год;</w:t>
      </w:r>
    </w:p>
    <w:p w14:paraId="2C0C7BA8">
      <w:pPr>
        <w:numPr>
          <w:ilvl w:val="0"/>
          <w:numId w:val="12"/>
        </w:numPr>
        <w:suppressAutoHyphens/>
        <w:spacing w:before="0" w:beforeAutospacing="0" w:after="280" w:afterAutospacing="0"/>
        <w:ind w:left="78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учебного фонда — 4552 единица.</w:t>
      </w:r>
    </w:p>
    <w:p w14:paraId="4DC01A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Фонд библиотеки формируется за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счет федерального, областного, местного бюджетов.</w:t>
      </w:r>
    </w:p>
    <w:p w14:paraId="68DD3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фонда и его использование</w:t>
      </w:r>
    </w:p>
    <w:tbl>
      <w:tblPr>
        <w:tblStyle w:val="4"/>
        <w:tblW w:w="5000" w:type="pc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74"/>
        <w:gridCol w:w="3593"/>
        <w:gridCol w:w="2918"/>
        <w:gridCol w:w="2292"/>
      </w:tblGrid>
      <w:tr w14:paraId="1B0C3C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87D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ED3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литературы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BD5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9E1B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 экземпляров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выдавалось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</w:tr>
      <w:tr w14:paraId="7A23C0E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E43B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D97E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79A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4513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032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</w:tr>
      <w:tr w14:paraId="22B29C52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A3EAB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E38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2B1C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481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14:paraId="6C673E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DC1C0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5774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1884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5E6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14:paraId="5E9B2A8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7C6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3B1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C337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5E7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14:paraId="4A9B033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5AD3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6D1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A5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BBD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0CB4BA6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98C4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AE8B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76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65E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19D9CAE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0CB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288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4EA8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BB0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C8DFDA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D63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090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AAA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70B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66CFF41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библиотеке имеются 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— 41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диск. Мультимедийные средства (презентации, электронные энциклопедии, дидактические материалы)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— 150. Действует подключение к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ресурсам ФГИС «Моя школа».</w:t>
      </w:r>
    </w:p>
    <w:p w14:paraId="43D08A2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Средний уровень посещаемости библиотеки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— 14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 в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день.</w:t>
      </w:r>
    </w:p>
    <w:p w14:paraId="5D62966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официальном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сайте Школы есть страница библиотеки с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информацией 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работе 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проводимых мероприятиях библиотеки Школы.</w:t>
      </w:r>
    </w:p>
    <w:p w14:paraId="782C305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закупку периодических изданий 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обновление фонда художественной литературы.</w:t>
      </w:r>
    </w:p>
    <w:p w14:paraId="48A9D88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сайте Школы есть страница библиотеки с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работе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проводимых мероприятиях библиотеки Школы.</w:t>
      </w:r>
    </w:p>
    <w:p w14:paraId="1E084FF1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обновление фонда художественной литературы.</w:t>
      </w:r>
    </w:p>
    <w:p w14:paraId="68F103D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социальной сети ВКонтакте (госпаблик)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— с 20.03.2020. Работа госпаблика регламентируется Федеральным законом от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09.02.2009 №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31.12.2022 №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2560, рекомендациями Минцифры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локальными актами Школы.</w:t>
      </w:r>
    </w:p>
    <w:p w14:paraId="2427BF5A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госпаблике всегда присутствует информация:</w:t>
      </w:r>
    </w:p>
    <w:p w14:paraId="5B53C3C4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наименование Школы;</w:t>
      </w:r>
    </w:p>
    <w:p w14:paraId="10AF4BE8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номера телефонов справочных служб Школы;</w:t>
      </w:r>
    </w:p>
    <w:p w14:paraId="39DAF908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официальном сайте Школы;</w:t>
      </w:r>
    </w:p>
    <w:p w14:paraId="46EB8656">
      <w:pPr>
        <w:numPr>
          <w:ilvl w:val="0"/>
          <w:numId w:val="13"/>
        </w:numPr>
        <w:spacing w:beforeAutospacing="0" w:afterAutospacing="0"/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Школе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ее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деятельности.</w:t>
      </w:r>
    </w:p>
    <w:p w14:paraId="717D88E1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Визуальное оформление госпаблика Школы включает:</w:t>
      </w:r>
    </w:p>
    <w:p w14:paraId="033FE092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аватар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14:paraId="4795CD6C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обложку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14:paraId="53BDD8D3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Школе;</w:t>
      </w:r>
    </w:p>
    <w:p w14:paraId="3AB8CA59">
      <w:p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7968964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Меню официальной страницы содержит три типа ссылок:</w:t>
      </w:r>
    </w:p>
    <w:p w14:paraId="0D09CFC9">
      <w:pPr>
        <w:numPr>
          <w:ilvl w:val="0"/>
          <w:numId w:val="15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обращений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ее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обложку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—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первом пункте меню;</w:t>
      </w:r>
    </w:p>
    <w:p w14:paraId="7E83AD07">
      <w:pPr>
        <w:numPr>
          <w:ilvl w:val="0"/>
          <w:numId w:val="15"/>
        </w:numPr>
        <w:spacing w:beforeAutospacing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электронную форму ПОС для выявления мнения пользователей,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том числе путем опросов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голосований, 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ее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обложку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— во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втором пункте меню;</w:t>
      </w:r>
    </w:p>
    <w:p w14:paraId="023FAAC4">
      <w:pPr>
        <w:numPr>
          <w:ilvl w:val="0"/>
          <w:numId w:val="15"/>
        </w:numPr>
        <w:spacing w:beforeAutospacing="0" w:afterAutospacing="0"/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Школе.</w:t>
      </w:r>
    </w:p>
    <w:p w14:paraId="3ADED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</w:rPr>
        <w:t>VIII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FCAAB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2024 скорректировали внутреннюю систему оценки качества образования (ВСОКО) на основании Методологии оценки качества общего образования, утвержденной Минпросвещения. При формировании новой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14:paraId="0B0F35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629CA7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работы ВСОКО возложена на заместителя директора. Главный документ, в котором закреплены основные правила функционирования ВСОКО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внутренней системе оценки качества образования МКОУ «Кисловская СШ»</w:t>
      </w:r>
    </w:p>
    <w:p w14:paraId="1B6581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 2024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3F9CD0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2024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14:paraId="37C86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2342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декабря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2"/>
        <w:gridCol w:w="1432"/>
        <w:gridCol w:w="1433"/>
      </w:tblGrid>
      <w:tr w14:paraId="2BBBC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500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EC6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A0C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14:paraId="77F66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4A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14:paraId="7A8D5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48C3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CBF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7EF22">
            <w:pPr>
              <w:rPr>
                <w:lang w:val="ru-RU"/>
              </w:rPr>
            </w:pPr>
            <w:r>
              <w:rPr>
                <w:lang w:val="ru-RU"/>
              </w:rPr>
              <w:t>187</w:t>
            </w:r>
          </w:p>
        </w:tc>
      </w:tr>
      <w:tr w14:paraId="4820B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D84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67A7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42DE7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14:paraId="029E3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B0C3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CA34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195F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14:paraId="05664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BDC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423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441D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14:paraId="28381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52D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ADF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54ECB">
            <w:pPr>
              <w:rPr>
                <w:lang w:val="ru-RU"/>
              </w:rPr>
            </w:pPr>
            <w:r>
              <w:rPr>
                <w:lang w:val="ru-RU"/>
              </w:rPr>
              <w:t>53 (28%)</w:t>
            </w:r>
          </w:p>
        </w:tc>
      </w:tr>
      <w:tr w14:paraId="1A8D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AF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7B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31CFB">
            <w:pPr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  <w:tr w14:paraId="0D71D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19B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E1BA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BC367">
            <w:pPr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</w:tr>
      <w:tr w14:paraId="19B56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F30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87D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311A9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14:paraId="553D9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FD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3BAF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25079">
            <w:pPr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</w:tr>
      <w:tr w14:paraId="23998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0E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DE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0B41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503AB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3C6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8025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B1B8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35DF4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C95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9EE8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1BBD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10979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DC5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9603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EE3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6EC7C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CCA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9F91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EFA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42DBB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3EE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157D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0DB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251AA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15C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CE67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2D7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2C554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EBE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86114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435E6">
            <w:pPr>
              <w:rPr>
                <w:lang w:val="ru-RU"/>
              </w:rPr>
            </w:pPr>
            <w:r>
              <w:rPr>
                <w:lang w:val="ru-RU"/>
              </w:rPr>
              <w:t>1(20%)</w:t>
            </w:r>
          </w:p>
        </w:tc>
      </w:tr>
      <w:tr w14:paraId="4BFF5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36E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D394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31286">
            <w:pPr>
              <w:rPr>
                <w:lang w:val="ru-RU"/>
              </w:rPr>
            </w:pPr>
            <w:r>
              <w:rPr>
                <w:lang w:val="ru-RU"/>
              </w:rPr>
              <w:t>51 (30%)</w:t>
            </w:r>
          </w:p>
        </w:tc>
      </w:tr>
      <w:tr w14:paraId="1DE21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9792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77A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8EB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9AF1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82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6B7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00D8C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B21A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99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C12A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34663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A898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1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7D3C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7F8EA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DE3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A4E8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08FB1">
            <w:pPr>
              <w:rPr>
                <w:lang w:val="ru-RU"/>
              </w:rPr>
            </w:pPr>
            <w:r>
              <w:rPr>
                <w:lang w:val="ru-RU"/>
              </w:rPr>
              <w:t>19(10%)</w:t>
            </w:r>
          </w:p>
        </w:tc>
      </w:tr>
      <w:tr w14:paraId="1C3BE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EB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FD17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169D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61702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2E9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C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181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14498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FD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5D0D4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A3A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14:paraId="2330D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8E9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80A24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69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C4F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8524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931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EE6E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14:paraId="3C12B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986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0FE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FA61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14:paraId="05075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031B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0D5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1FBD0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14:paraId="64227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D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9BA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9146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14:paraId="49F5D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157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DFC0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D5E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E28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1AF8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A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2E01D">
            <w:pPr>
              <w:rPr>
                <w:lang w:val="ru-RU"/>
              </w:rPr>
            </w:pPr>
            <w:r>
              <w:rPr>
                <w:lang w:val="ru-RU"/>
              </w:rPr>
              <w:t>1(5%)</w:t>
            </w:r>
          </w:p>
        </w:tc>
      </w:tr>
      <w:tr w14:paraId="4F106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28A6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D65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F352A">
            <w:pPr>
              <w:rPr>
                <w:lang w:val="ru-RU"/>
              </w:rPr>
            </w:pPr>
            <w:r>
              <w:rPr>
                <w:lang w:val="ru-RU"/>
              </w:rPr>
              <w:t>4 (20%)</w:t>
            </w:r>
          </w:p>
        </w:tc>
      </w:tr>
      <w:tr w14:paraId="5D706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7F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8797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5E1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06790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8137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D60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1BDD"/>
        </w:tc>
      </w:tr>
      <w:tr w14:paraId="34E31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3BD1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DC2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640E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14:paraId="43901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CE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7941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F6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1E6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57FD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97B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1F6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14:paraId="44E5B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9F43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16A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C5D4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14:paraId="1C644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017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ED22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AEC26">
            <w:pPr>
              <w:rPr>
                <w:lang w:val="ru-RU"/>
              </w:rPr>
            </w:pPr>
            <w:r>
              <w:rPr>
                <w:lang w:val="ru-RU"/>
              </w:rPr>
              <w:t>21(100%)</w:t>
            </w:r>
          </w:p>
        </w:tc>
      </w:tr>
      <w:tr w14:paraId="68C76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B1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4E6D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CE8F7">
            <w:pPr>
              <w:rPr>
                <w:lang w:val="ru-RU"/>
              </w:rPr>
            </w:pPr>
            <w:r>
              <w:rPr>
                <w:lang w:val="ru-RU"/>
              </w:rPr>
              <w:t>21 (100%)</w:t>
            </w:r>
          </w:p>
        </w:tc>
      </w:tr>
      <w:tr w14:paraId="74131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CDB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14:paraId="716E8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D64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82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5C52">
            <w:pPr>
              <w:rPr>
                <w:lang w:val="ru-RU"/>
              </w:rPr>
            </w:pPr>
            <w:r>
              <w:rPr>
                <w:lang w:val="ru-RU"/>
              </w:rPr>
              <w:t>0,19</w:t>
            </w:r>
          </w:p>
        </w:tc>
      </w:tr>
      <w:tr w14:paraId="510CF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0AF3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E97BD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97745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14:paraId="46003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C9E8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6B8C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1EBD2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46729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34E8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78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70E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7A509">
            <w:pPr>
              <w:rPr>
                <w:lang w:val="ru-RU"/>
              </w:rPr>
            </w:pPr>
          </w:p>
        </w:tc>
      </w:tr>
      <w:tr w14:paraId="1FD6F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B9E5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966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DB8F2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1FD9E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9C56">
            <w:r>
              <w:rPr>
                <w:rFonts w:hAnsi="Times New Roman" w:cs="Times New Roman"/>
                <w:sz w:val="24"/>
                <w:szCs w:val="24"/>
              </w:rPr>
              <w:t>— медиатеки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522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5EDD6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1F739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3404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1C2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84D1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2C366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1871F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FC3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4D5E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2066B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D28EA">
            <w:r>
              <w:rPr>
                <w:rFonts w:hAnsi="Times New Roman" w:cs="Times New Roman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78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576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F47A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14:paraId="6DF9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AF5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F18F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9C19B">
            <w:pPr>
              <w:rPr>
                <w:lang w:val="ru-RU"/>
              </w:rPr>
            </w:pPr>
            <w:r>
              <w:rPr>
                <w:lang w:val="ru-RU"/>
              </w:rPr>
              <w:t>185/100%</w:t>
            </w:r>
          </w:p>
        </w:tc>
      </w:tr>
      <w:tr w14:paraId="571E0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8E2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DF42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537D8">
            <w:pPr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</w:tr>
    </w:tbl>
    <w:p w14:paraId="2BDB00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14:paraId="003749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6598A"/>
    <w:multiLevelType w:val="multilevel"/>
    <w:tmpl w:val="082659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C23471A"/>
    <w:multiLevelType w:val="multilevel"/>
    <w:tmpl w:val="0C2347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BD2E75"/>
    <w:multiLevelType w:val="multilevel"/>
    <w:tmpl w:val="15BD2E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023BCE"/>
    <w:multiLevelType w:val="multilevel"/>
    <w:tmpl w:val="18023B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1056707"/>
    <w:multiLevelType w:val="multilevel"/>
    <w:tmpl w:val="21056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2A30F52"/>
    <w:multiLevelType w:val="multilevel"/>
    <w:tmpl w:val="22A30F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E2D1E48"/>
    <w:multiLevelType w:val="multilevel"/>
    <w:tmpl w:val="2E2D1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D5776EC"/>
    <w:multiLevelType w:val="multilevel"/>
    <w:tmpl w:val="3D5776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EE32E71"/>
    <w:multiLevelType w:val="multilevel"/>
    <w:tmpl w:val="4EE32E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6FD69FD"/>
    <w:multiLevelType w:val="multilevel"/>
    <w:tmpl w:val="56FD69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37D764C"/>
    <w:multiLevelType w:val="multilevel"/>
    <w:tmpl w:val="637D76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9081BA1"/>
    <w:multiLevelType w:val="multilevel"/>
    <w:tmpl w:val="69081B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0117F20"/>
    <w:multiLevelType w:val="multilevel"/>
    <w:tmpl w:val="70117F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8E66BE6"/>
    <w:multiLevelType w:val="multilevel"/>
    <w:tmpl w:val="78E66B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E2F2184"/>
    <w:multiLevelType w:val="multilevel"/>
    <w:tmpl w:val="7E2F21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4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7A8"/>
    <w:rsid w:val="00091AC2"/>
    <w:rsid w:val="00102561"/>
    <w:rsid w:val="001D5B3A"/>
    <w:rsid w:val="0023521A"/>
    <w:rsid w:val="002379BB"/>
    <w:rsid w:val="00244A2F"/>
    <w:rsid w:val="002D33B1"/>
    <w:rsid w:val="002D3591"/>
    <w:rsid w:val="00313785"/>
    <w:rsid w:val="003307C3"/>
    <w:rsid w:val="003514A0"/>
    <w:rsid w:val="00423090"/>
    <w:rsid w:val="0043165A"/>
    <w:rsid w:val="004C798B"/>
    <w:rsid w:val="004E06E8"/>
    <w:rsid w:val="004F7E17"/>
    <w:rsid w:val="00534214"/>
    <w:rsid w:val="0055700B"/>
    <w:rsid w:val="005A05CE"/>
    <w:rsid w:val="005C7982"/>
    <w:rsid w:val="005F06C1"/>
    <w:rsid w:val="00653AF6"/>
    <w:rsid w:val="006954A9"/>
    <w:rsid w:val="006A38D9"/>
    <w:rsid w:val="006E428D"/>
    <w:rsid w:val="00772A16"/>
    <w:rsid w:val="007A0418"/>
    <w:rsid w:val="007A7A5C"/>
    <w:rsid w:val="00820427"/>
    <w:rsid w:val="00863D94"/>
    <w:rsid w:val="0088209B"/>
    <w:rsid w:val="008B7235"/>
    <w:rsid w:val="009016AD"/>
    <w:rsid w:val="00913B86"/>
    <w:rsid w:val="009505E7"/>
    <w:rsid w:val="009928E9"/>
    <w:rsid w:val="009F3ECA"/>
    <w:rsid w:val="00A67EB7"/>
    <w:rsid w:val="00A870C9"/>
    <w:rsid w:val="00AE59AB"/>
    <w:rsid w:val="00AE78CF"/>
    <w:rsid w:val="00AF2B30"/>
    <w:rsid w:val="00B73A5A"/>
    <w:rsid w:val="00CB6DEE"/>
    <w:rsid w:val="00D023B0"/>
    <w:rsid w:val="00D8038E"/>
    <w:rsid w:val="00DA1818"/>
    <w:rsid w:val="00DE2B1A"/>
    <w:rsid w:val="00E313FB"/>
    <w:rsid w:val="00E438A1"/>
    <w:rsid w:val="00E46657"/>
    <w:rsid w:val="00E81AE5"/>
    <w:rsid w:val="00EF7125"/>
    <w:rsid w:val="00F01E19"/>
    <w:rsid w:val="00F25238"/>
    <w:rsid w:val="00F9427A"/>
    <w:rsid w:val="5DD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дополнительным образованием в 2025 году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Ряды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Неудовлетвоорены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94</c:v>
                </c:pt>
                <c:pt idx="1">
                  <c:v>75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Неудовлетвоорены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Неудовлетвоорены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84118768"/>
        <c:axId val="-784113872"/>
      </c:barChart>
      <c:catAx>
        <c:axId val="-784118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784113872"/>
        <c:crosses val="autoZero"/>
        <c:auto val="1"/>
        <c:lblAlgn val="ctr"/>
        <c:lblOffset val="100"/>
        <c:noMultiLvlLbl val="0"/>
      </c:catAx>
      <c:valAx>
        <c:axId val="-78411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78411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d5c46da-679e-43a9-98c4-ae98112bc18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B78F-CA77-498D-B9B0-F9605908C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6039</Words>
  <Characters>34424</Characters>
  <Lines>286</Lines>
  <Paragraphs>80</Paragraphs>
  <TotalTime>0</TotalTime>
  <ScaleCrop>false</ScaleCrop>
  <LinksUpToDate>false</LinksUpToDate>
  <CharactersWithSpaces>40383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Admin</dc:creator>
  <dc:description>Подготовлено экспертами Группы Актион</dc:description>
  <cp:lastModifiedBy>Admin</cp:lastModifiedBy>
  <cp:lastPrinted>2026-04-16T08:29:00Z</cp:lastPrinted>
  <dcterms:modified xsi:type="dcterms:W3CDTF">2026-04-17T10:13:12Z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C4BD28D8F38E4913A07306E8D837B830_13</vt:lpwstr>
  </property>
</Properties>
</file>